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B70160" w:rsidRPr="00E01317" w:rsidRDefault="00B70160" w:rsidP="00E01317">
      <w:pPr>
        <w:spacing w:before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NÁSTROJ PRO SEBEHODNOCENÍ A HODNOCENÍ STUDENTA NA PEDAGOGICKÉ PRAXI</w:t>
      </w:r>
      <w:r w:rsidR="00293427" w:rsidRPr="00E01317">
        <w:rPr>
          <w:rFonts w:asciiTheme="minorHAnsi" w:hAnsiTheme="minorHAnsi" w:cstheme="minorHAnsi"/>
          <w:b/>
          <w:sz w:val="24"/>
          <w:lang w:eastAsia="cs-CZ"/>
        </w:rPr>
        <w:br/>
        <w:t>V PŘEDMĚTU ZEMĚPIS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29342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</w:t>
            </w:r>
            <w:r w:rsidR="00293427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01154D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</w:t>
            </w:r>
            <w:r w:rsidR="00B70160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293427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</w:t>
            </w:r>
            <w:r w:rsidR="0001154D">
              <w:rPr>
                <w:rFonts w:asciiTheme="minorHAnsi" w:hAnsiTheme="minorHAnsi" w:cstheme="minorHAnsi"/>
                <w:b/>
                <w:sz w:val="24"/>
                <w:lang w:eastAsia="cs-CZ"/>
              </w:rPr>
              <w:t>ak</w:t>
            </w: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</w:tbl>
    <w:p w:rsidR="00B70160" w:rsidRPr="00E01317" w:rsidRDefault="00B70160" w:rsidP="00E01317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Vážené kolegyně, vážení kolegové,</w:t>
      </w:r>
    </w:p>
    <w:p w:rsidR="00B70160" w:rsidRPr="00E01317" w:rsidRDefault="00B70160" w:rsidP="00E01317">
      <w:pPr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E01317">
        <w:rPr>
          <w:rFonts w:asciiTheme="minorHAnsi" w:hAnsiTheme="minorHAnsi" w:cstheme="minorHAnsi"/>
          <w:sz w:val="22"/>
          <w:szCs w:val="22"/>
          <w:lang w:eastAsia="cs-CZ"/>
        </w:rPr>
        <w:t>sebereflektivní</w:t>
      </w:r>
      <w:proofErr w:type="spellEnd"/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kompetence. Při tomto procesu je velmi důle</w:t>
      </w:r>
      <w:r w:rsidR="0001154D">
        <w:rPr>
          <w:rFonts w:asciiTheme="minorHAnsi" w:hAnsiTheme="minorHAnsi" w:cstheme="minorHAnsi"/>
          <w:sz w:val="22"/>
          <w:szCs w:val="22"/>
          <w:lang w:eastAsia="cs-CZ"/>
        </w:rPr>
        <w:t>žitá pomoc a podpora od provázejících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učitelů. Zpětná vazba, kterou studentům průběžně poskytují, pomáhá studentům uvědomit si i ty stránky vlastní činnosti, které by jinak zůstaly nepovšimnuty.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Nástroj obsahuje následující kompetence: </w:t>
      </w: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začátku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využít pro výběr a stanovení dílčích cílů profesního rozvoje studentů v jednotlivých etapách </w:t>
      </w:r>
      <w:r w:rsidR="0001154D">
        <w:rPr>
          <w:rFonts w:asciiTheme="minorHAnsi" w:hAnsiTheme="minorHAnsi" w:cstheme="minorHAnsi"/>
          <w:sz w:val="22"/>
          <w:szCs w:val="22"/>
          <w:lang w:eastAsia="cs-CZ"/>
        </w:rPr>
        <w:t>praxe. Proto studentům i provázejícím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učitelům doporučujeme seznámit se s Nástrojem již v úvodu samotné praxe. Studenti s Nástrojem pracují také v didaktických předmětech na fakultě.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V průběhu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nebo jeho určité části využít k pozorování a p</w:t>
      </w:r>
      <w:r w:rsidR="00BE3505"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osuzování výuky, které studenti </w:t>
      </w:r>
      <w:r w:rsidR="00025F80">
        <w:rPr>
          <w:rFonts w:asciiTheme="minorHAnsi" w:hAnsiTheme="minorHAnsi" w:cstheme="minorHAnsi"/>
          <w:sz w:val="22"/>
          <w:szCs w:val="22"/>
          <w:lang w:eastAsia="cs-CZ"/>
        </w:rPr>
        <w:t>provádějí u svých provázejících učitelů nebo naopak provázející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konci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studenti Nástroj použijí k zá</w:t>
      </w:r>
      <w:r w:rsidR="00025F80">
        <w:rPr>
          <w:rFonts w:asciiTheme="minorHAnsi" w:hAnsiTheme="minorHAnsi" w:cstheme="minorHAnsi"/>
          <w:sz w:val="22"/>
          <w:szCs w:val="22"/>
          <w:lang w:eastAsia="cs-CZ"/>
        </w:rPr>
        <w:t>věrečnému sebehodnocení. Provázejícím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E01317" w:rsidRDefault="00B70160" w:rsidP="00E01317">
      <w:p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Děkujeme Vám za spolupráci!</w:t>
      </w:r>
    </w:p>
    <w:p w:rsidR="00B70160" w:rsidRPr="00E01317" w:rsidRDefault="0083096C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E01317">
          <w:headerReference w:type="default" r:id="rId8"/>
          <w:footerReference w:type="default" r:id="rId9"/>
          <w:pgSz w:w="11906" w:h="16838" w:code="9"/>
          <w:pgMar w:top="1560" w:right="1134" w:bottom="1134" w:left="1134" w:header="1304" w:footer="266" w:gutter="0"/>
          <w:cols w:space="708"/>
          <w:docGrid w:linePitch="360"/>
        </w:sect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lastRenderedPageBreak/>
        <w:t xml:space="preserve">Za Oddělení pedagogické praxe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FP TUL:</w:t>
      </w:r>
      <w:r w:rsidR="00B70160"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Mgr. Helena Picková</w:t>
      </w:r>
      <w:r w:rsidR="004353F4" w:rsidRPr="00E01317">
        <w:rPr>
          <w:rFonts w:asciiTheme="minorHAnsi" w:hAnsiTheme="minorHAnsi" w:cstheme="minorHAnsi"/>
          <w:sz w:val="22"/>
          <w:szCs w:val="22"/>
          <w:lang w:eastAsia="cs-CZ"/>
        </w:rPr>
        <w:t>, Ph.D.</w:t>
      </w: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"/>
        <w:gridCol w:w="8124"/>
        <w:gridCol w:w="1092"/>
      </w:tblGrid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pomůcky a různorodé zdroje informací.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Připravuji pro žáky otázky a úkoly vhodné náročnosti dle </w:t>
            </w:r>
            <w:proofErr w:type="spellStart"/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Bloomovy</w:t>
            </w:r>
            <w:proofErr w:type="spellEnd"/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 taxonomie učebních cílů k pochopení, procvičení a osvojení učiva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207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Vytváření prostředí pro učení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060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325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</w:t>
            </w:r>
            <w:r w:rsidR="00025F80">
              <w:rPr>
                <w:rFonts w:asciiTheme="minorHAnsi" w:hAnsiTheme="minorHAnsi" w:cstheme="minorHAnsi"/>
                <w:i/>
                <w:szCs w:val="20"/>
                <w:lang w:eastAsia="cs-CZ"/>
              </w:rPr>
              <w:t>pojuji se dle požadavků provázejícího</w:t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 učitele a aktuálních podmínek školy do aktivit i mimo výuku, jsem proaktivní, svěřené úkoly plním zodpovědně.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1701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86726C">
        <w:trPr>
          <w:trHeight w:val="193"/>
        </w:trPr>
        <w:tc>
          <w:tcPr>
            <w:tcW w:w="0" w:type="auto"/>
            <w:gridSpan w:val="3"/>
          </w:tcPr>
          <w:p w:rsidR="0086726C" w:rsidRPr="00E01317" w:rsidRDefault="0086726C" w:rsidP="0086726C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oborově didaktická pro výuku zeměpisu</w:t>
            </w:r>
          </w:p>
        </w:tc>
      </w:tr>
      <w:tr w:rsidR="0086726C" w:rsidRPr="00E01317" w:rsidTr="00FD06C3">
        <w:trPr>
          <w:trHeight w:val="567"/>
        </w:trPr>
        <w:tc>
          <w:tcPr>
            <w:tcW w:w="0" w:type="auto"/>
            <w:gridSpan w:val="3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Používám takové výukové postupy, které umožňují žákům porozumět geografickým faktům, jevům, procesům a geografickému myšlení a dosahovat dalších kognitivních a afektivních cílů ve výuce zeměpisu. Kladu důraz na rozvíjení jejich vnitřní motivace a zájmu o poznávání vztahu jedno</w:t>
            </w:r>
            <w:r w:rsidRPr="00E01317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tlivec - společnost – prostředí.</w:t>
            </w:r>
          </w:p>
        </w:tc>
      </w:tr>
      <w:tr w:rsidR="0086726C" w:rsidRPr="00E01317" w:rsidTr="00FD06C3">
        <w:tc>
          <w:tcPr>
            <w:tcW w:w="0" w:type="auto"/>
            <w:gridSpan w:val="2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Při plánování i realizaci výuky stanovuji pro žáky dvě úrovně kognitivních cílů – minimální a vyšší. Podle nich pak uplatňuji princi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 vnitřní diferenciace ve výuce.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Učím žáky analyzovat a hodnotit geografické a zejména kulturně geografické jevy z více perspektiv.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Umím žákům správně vysvětlit geografické koncepty, modely a teorie a nedopouštím se při tom odborných chyb.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86726C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Pravidelně využívám učebnici, atlas a internetové zdroje.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Využívám vzdělávací počítačové programy.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Umím zorganizovat výuku zeměpisu mimo třídu či školu a připravit k ní pracovní materiály, např. pracovní listy pro žáky.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gridSpan w:val="2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1701"/>
        </w:trPr>
        <w:tc>
          <w:tcPr>
            <w:tcW w:w="0" w:type="auto"/>
            <w:gridSpan w:val="3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seberozvoje</w:t>
            </w:r>
            <w:proofErr w:type="spellEnd"/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:</w:t>
            </w: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E01317" w:rsidRPr="00E01317" w:rsidRDefault="00E01317" w:rsidP="00E01317">
      <w:pPr>
        <w:spacing w:before="0" w:after="200" w:line="276" w:lineRule="auto"/>
        <w:ind w:left="0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 xml:space="preserve">HODNOCENÍ </w:t>
      </w:r>
      <w:r w:rsidR="00025F80">
        <w:rPr>
          <w:rFonts w:asciiTheme="minorHAnsi" w:hAnsiTheme="minorHAnsi" w:cstheme="minorHAnsi"/>
          <w:b/>
          <w:sz w:val="24"/>
          <w:lang w:eastAsia="cs-CZ"/>
        </w:rPr>
        <w:t>STUDENTA PROVÁZEJÍCÍM UČITELEM (vyplňuje provázející</w:t>
      </w:r>
      <w:r w:rsidRPr="00E01317">
        <w:rPr>
          <w:rFonts w:asciiTheme="minorHAnsi" w:hAnsiTheme="minorHAnsi" w:cstheme="minorHAnsi"/>
          <w:b/>
          <w:sz w:val="24"/>
          <w:lang w:eastAsia="cs-CZ"/>
        </w:rPr>
        <w:t xml:space="preserve"> učitel)</w:t>
      </w:r>
      <w:r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E01317" w:rsidTr="00A10D87">
        <w:tc>
          <w:tcPr>
            <w:tcW w:w="9322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A10D87">
        <w:tc>
          <w:tcPr>
            <w:tcW w:w="382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1C2A27">
        <w:trPr>
          <w:trHeight w:val="283"/>
        </w:trPr>
        <w:tc>
          <w:tcPr>
            <w:tcW w:w="3828" w:type="dxa"/>
            <w:gridSpan w:val="2"/>
          </w:tcPr>
          <w:p w:rsidR="00E01317" w:rsidRPr="00E01317" w:rsidRDefault="00E01317" w:rsidP="00E01317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Oborově didaktická kompetence 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br/>
              <w:t xml:space="preserve">pro výuku zeměpisu </w:t>
            </w:r>
          </w:p>
        </w:tc>
        <w:tc>
          <w:tcPr>
            <w:tcW w:w="5494" w:type="dxa"/>
            <w:gridSpan w:val="2"/>
          </w:tcPr>
          <w:p w:rsidR="00E01317" w:rsidRPr="00E01317" w:rsidRDefault="00E01317" w:rsidP="00E0131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0160" w:rsidRPr="00E01317" w:rsidTr="00B70160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B70160">
        <w:trPr>
          <w:trHeight w:val="64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29"/>
        </w:trPr>
        <w:tc>
          <w:tcPr>
            <w:tcW w:w="3166" w:type="dxa"/>
            <w:vAlign w:val="center"/>
          </w:tcPr>
          <w:p w:rsidR="00B70160" w:rsidRPr="00E01317" w:rsidRDefault="00025F8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PROVÁZEJÍCÍM</w:t>
            </w:r>
            <w:r w:rsidR="00B70160"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5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2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B70160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025F8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provázejícího</w:t>
            </w:r>
            <w:r w:rsidR="00B70160"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učitele:</w:t>
            </w:r>
          </w:p>
        </w:tc>
      </w:tr>
      <w:tr w:rsidR="00B70160" w:rsidRPr="00E01317" w:rsidTr="00B70160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</w:t>
      </w:r>
      <w:r w:rsidR="00025F80">
        <w:rPr>
          <w:rFonts w:asciiTheme="minorHAnsi" w:hAnsiTheme="minorHAnsi" w:cstheme="minorHAnsi"/>
          <w:b/>
          <w:sz w:val="24"/>
          <w:lang w:eastAsia="cs-CZ"/>
        </w:rPr>
        <w:t xml:space="preserve">tudent, podpisem potvrdí provázející </w:t>
      </w:r>
      <w:r w:rsidRPr="00E01317">
        <w:rPr>
          <w:rFonts w:asciiTheme="minorHAnsi" w:hAnsiTheme="minorHAnsi" w:cstheme="minorHAnsi"/>
          <w:b/>
          <w:sz w:val="24"/>
          <w:lang w:eastAsia="cs-CZ"/>
        </w:rPr>
        <w:t>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E01317" w:rsidRDefault="00025F8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provázejícího</w:t>
            </w:r>
            <w:r w:rsidR="00B70160"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30" w:rsidRPr="00D91740" w:rsidRDefault="00954E30" w:rsidP="00D91740">
      <w:r>
        <w:separator/>
      </w:r>
    </w:p>
  </w:endnote>
  <w:endnote w:type="continuationSeparator" w:id="0">
    <w:p w:rsidR="00954E30" w:rsidRPr="00D91740" w:rsidRDefault="00954E3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86">
          <w:rPr>
            <w:noProof/>
          </w:rPr>
          <w:t>4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30" w:rsidRPr="00D91740" w:rsidRDefault="00954E30" w:rsidP="00D91740">
      <w:r>
        <w:separator/>
      </w:r>
    </w:p>
  </w:footnote>
  <w:footnote w:type="continuationSeparator" w:id="0">
    <w:p w:rsidR="00954E30" w:rsidRPr="00D91740" w:rsidRDefault="00954E3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154D"/>
    <w:rsid w:val="00016D7E"/>
    <w:rsid w:val="0002342B"/>
    <w:rsid w:val="0002504A"/>
    <w:rsid w:val="000259D6"/>
    <w:rsid w:val="00025F80"/>
    <w:rsid w:val="000306B7"/>
    <w:rsid w:val="00037E8B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25412"/>
    <w:rsid w:val="004353F4"/>
    <w:rsid w:val="0047294E"/>
    <w:rsid w:val="00477A2E"/>
    <w:rsid w:val="00490667"/>
    <w:rsid w:val="004D2CEC"/>
    <w:rsid w:val="004F2057"/>
    <w:rsid w:val="00514F35"/>
    <w:rsid w:val="0052003C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4124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727D1E"/>
    <w:rsid w:val="00763686"/>
    <w:rsid w:val="00782E0D"/>
    <w:rsid w:val="007833FF"/>
    <w:rsid w:val="007C213B"/>
    <w:rsid w:val="007D08E2"/>
    <w:rsid w:val="007E0FE7"/>
    <w:rsid w:val="007E1B00"/>
    <w:rsid w:val="007E3086"/>
    <w:rsid w:val="007F55A7"/>
    <w:rsid w:val="00826FE5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4E30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B54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C04706"/>
    <w:rsid w:val="00C06E64"/>
    <w:rsid w:val="00C115B2"/>
    <w:rsid w:val="00C96F66"/>
    <w:rsid w:val="00CB265C"/>
    <w:rsid w:val="00CB430D"/>
    <w:rsid w:val="00CC423D"/>
    <w:rsid w:val="00CC51B4"/>
    <w:rsid w:val="00D31DE2"/>
    <w:rsid w:val="00D91740"/>
    <w:rsid w:val="00DF3F1D"/>
    <w:rsid w:val="00E01317"/>
    <w:rsid w:val="00E0357F"/>
    <w:rsid w:val="00E05ABA"/>
    <w:rsid w:val="00E239FA"/>
    <w:rsid w:val="00E24E8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9521-4D78-4970-8157-66E5EED6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6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2022-10-06T09:40:00Z</dcterms:created>
  <dcterms:modified xsi:type="dcterms:W3CDTF">2022-10-06T09:40:00Z</dcterms:modified>
</cp:coreProperties>
</file>